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(Key Performance Indicators)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2et92p0" w:id="0"/>
            <w:bookmarkEnd w:id="0"/>
            <w:r w:rsidDel="00000000" w:rsidR="00000000" w:rsidRPr="00000000">
              <w:rPr>
                <w:rFonts w:ascii="Arial" w:cs="Arial" w:eastAsia="Arial" w:hAnsi="Arial"/>
                <w:b w:val="1"/>
                <w:color w:val="000000"/>
                <w:sz w:val="24"/>
                <w:szCs w:val="24"/>
                <w:rtl w:val="0"/>
              </w:rPr>
              <w:t xml:space="preserve">"At Risk %"</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 w:val="left"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percentage figure identified as such in the Order Form;</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 Risk Amount"</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 w:val="left"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respect of a Service Period, the amount calculated in accordance with Paragraph 3.1 of Part A of this Schedule; </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"Earn Back %"</w:t>
            </w:r>
            <w:r w:rsidDel="00000000" w:rsidR="00000000" w:rsidRPr="00000000">
              <w:rPr>
                <w:rtl w:val="0"/>
              </w:rPr>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percentage figure identified as such in the Order Form and which shall be used to determine the proportion of a KPI Credit which may be the subject of any Earn Back;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spacing w:after="28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 Category”</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each of the categories in the columns headed "KPI Category" in the "KPI Measures" tab of the KPI PayMech Model</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rFonts w:ascii="Arial" w:cs="Arial" w:eastAsia="Arial" w:hAnsi="Arial"/>
                <w:b w:val="1"/>
              </w:rPr>
            </w:pPr>
            <w:r w:rsidDel="00000000" w:rsidR="00000000" w:rsidRPr="00000000">
              <w:rPr>
                <w:rFonts w:ascii="Arial" w:cs="Arial" w:eastAsia="Arial" w:hAnsi="Arial"/>
                <w:b w:val="1"/>
                <w:sz w:val="24"/>
                <w:szCs w:val="24"/>
                <w:rtl w:val="0"/>
              </w:rPr>
              <w:t xml:space="preserve">“KPI Category At Risk Amount”</w:t>
            </w: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means in relation to a KPI Category in respect of a Service Period, the amount calculated in accordance with Paragraph 3.2 of Part A of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 Paymech Model"</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model comprised in the Excel worksheet - KPI Paymech Model, and attached</w:t>
            </w:r>
            <w:r w:rsidDel="00000000" w:rsidR="00000000" w:rsidRPr="00000000">
              <w:rPr>
                <w:rFonts w:ascii="Arial" w:cs="Arial" w:eastAsia="Arial" w:hAnsi="Arial"/>
                <w:color w:val="000000"/>
                <w:sz w:val="24"/>
                <w:szCs w:val="24"/>
                <w:rtl w:val="0"/>
              </w:rPr>
              <w:t xml:space="preserve"> in the Annex </w:t>
            </w: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color w:val="000000"/>
                <w:sz w:val="24"/>
                <w:szCs w:val="24"/>
                <w:rtl w:val="0"/>
              </w:rPr>
              <w:t xml:space="preserve">to Part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of this Schedule to </w:t>
            </w:r>
            <w:r w:rsidDel="00000000" w:rsidR="00000000" w:rsidRPr="00000000">
              <w:rPr>
                <w:rFonts w:ascii="Arial" w:cs="Arial" w:eastAsia="Arial" w:hAnsi="Arial"/>
                <w:sz w:val="24"/>
                <w:szCs w:val="24"/>
                <w:rtl w:val="0"/>
              </w:rPr>
              <w:t xml:space="preserve">be used for calculating any adjustments</w:t>
            </w:r>
            <w:r w:rsidDel="00000000" w:rsidR="00000000" w:rsidRPr="00000000">
              <w:rPr>
                <w:rFonts w:ascii="Arial" w:cs="Arial" w:eastAsia="Arial" w:hAnsi="Arial"/>
                <w:color w:val="000000"/>
                <w:sz w:val="24"/>
                <w:szCs w:val="24"/>
                <w:rtl w:val="0"/>
              </w:rPr>
              <w:t xml:space="preserve"> to </w:t>
            </w:r>
            <w:r w:rsidDel="00000000" w:rsidR="00000000" w:rsidRPr="00000000">
              <w:rPr>
                <w:rFonts w:ascii="Arial" w:cs="Arial" w:eastAsia="Arial" w:hAnsi="Arial"/>
                <w:sz w:val="24"/>
                <w:szCs w:val="24"/>
                <w:rtl w:val="0"/>
              </w:rPr>
              <w:t xml:space="preserve">the Charges as a result of the operation of the KPI regime in this Schedule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 At Risk Amount"</w:t>
            </w:r>
            <w:r w:rsidDel="00000000" w:rsidR="00000000" w:rsidRPr="00000000">
              <w:rPr>
                <w:rtl w:val="0"/>
              </w:rPr>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sz w:val="24"/>
                <w:szCs w:val="24"/>
                <w:rtl w:val="0"/>
              </w:rPr>
              <w:t xml:space="preserve">in relation</w:t>
            </w:r>
            <w:r w:rsidDel="00000000" w:rsidR="00000000" w:rsidRPr="00000000">
              <w:rPr>
                <w:rFonts w:ascii="Arial" w:cs="Arial" w:eastAsia="Arial" w:hAnsi="Arial"/>
                <w:color w:val="000000"/>
                <w:sz w:val="24"/>
                <w:szCs w:val="24"/>
                <w:rtl w:val="0"/>
              </w:rPr>
              <w:t xml:space="preserve"> to </w:t>
            </w:r>
            <w:r w:rsidDel="00000000" w:rsidR="00000000" w:rsidRPr="00000000">
              <w:rPr>
                <w:rFonts w:ascii="Arial" w:cs="Arial" w:eastAsia="Arial" w:hAnsi="Arial"/>
                <w:sz w:val="24"/>
                <w:szCs w:val="24"/>
                <w:rtl w:val="0"/>
              </w:rPr>
              <w:t xml:space="preserve">a KPI</w:t>
            </w:r>
            <w:r w:rsidDel="00000000" w:rsidR="00000000" w:rsidRPr="00000000">
              <w:rPr>
                <w:rFonts w:ascii="Arial" w:cs="Arial" w:eastAsia="Arial" w:hAnsi="Arial"/>
                <w:color w:val="000000"/>
                <w:sz w:val="24"/>
                <w:szCs w:val="24"/>
                <w:rtl w:val="0"/>
              </w:rPr>
              <w:t xml:space="preserve"> in respect of a Service </w:t>
            </w:r>
            <w:r w:rsidDel="00000000" w:rsidR="00000000" w:rsidRPr="00000000">
              <w:rPr>
                <w:rFonts w:ascii="Arial" w:cs="Arial" w:eastAsia="Arial" w:hAnsi="Arial"/>
                <w:sz w:val="24"/>
                <w:szCs w:val="24"/>
                <w:rtl w:val="0"/>
              </w:rPr>
              <w:t xml:space="preserve">Period, the amount calculated in accordance with Paragraph 3.3 of Part A of this Schedule;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"KPI Failure"</w:t>
            </w:r>
            <w:r w:rsidDel="00000000" w:rsidR="00000000" w:rsidRPr="00000000">
              <w:rPr>
                <w:rtl w:val="0"/>
              </w:rPr>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 Performance Measure"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each of the Performance Measures in the columns headed Measure Requirement and Measure Achievement Calculation in the KPI Measures tab of the KPI Paymech Model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Monitoring Reports"</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Part B of this Schedule; </w:t>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Review Meetings"</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Part B of this Schedule; </w:t>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"Persistent KPI Failure"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actual performance against the KPIs falls to or below the standard to which Paragraph 6 of Part A of this Schedule refers; and</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 Credits"</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KPI Credits specified in the Annex to Part A of this Schedule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"Ratchet"</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9"/>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Part A of this Schedule.</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42"/>
        </w:tabs>
        <w:spacing w:after="120" w:before="240" w:line="24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KPIs</w:t>
      </w:r>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KPI Performance Measure for each KPI.</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KPI Credit shall be the Buyer’s exclusive financial remedy for a KPI Failure except where:</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1t3h5sf" w:id="1"/>
      <w:bookmarkEnd w:id="1"/>
      <w:r w:rsidDel="00000000" w:rsidR="00000000" w:rsidRPr="00000000">
        <w:rPr>
          <w:rFonts w:ascii="Arial" w:cs="Arial" w:eastAsia="Arial" w:hAnsi="Arial"/>
          <w:color w:val="000000"/>
          <w:sz w:val="24"/>
          <w:szCs w:val="24"/>
          <w:rtl w:val="0"/>
        </w:rPr>
        <w:t xml:space="preserve">the Supplier has over the previous (twelve) 12 Month period exceeded the KPI Credit At Risk Amount; and/or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Failure:</w:t>
      </w:r>
    </w:p>
    <w:p w:rsidR="00000000" w:rsidDel="00000000" w:rsidP="00000000" w:rsidRDefault="00000000" w:rsidRPr="00000000" w14:paraId="0000002A">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2B">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2C">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Persistent KPI Failure occurs and/or the Buyer is otherwise entitled to or does terminate this Contract pursuant to Clause 10.4 of the Core Terms (When CCS or the buyer can end a contract).</w:t>
      </w:r>
      <w:r w:rsidDel="00000000" w:rsidR="00000000" w:rsidRPr="00000000">
        <w:rPr>
          <w:rtl w:val="0"/>
        </w:rPr>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the Buyer is entitled to or does terminate this Contract pursuant to Clause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.4 of the Core Terms (When CCS or the buyer can end a contract).</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KPI Performance Measure in respect of one or more KPIs and the Supplier shall not be entitled to object to, or increase the Charges as a result of such changes, provided that:</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KPIs for which the weighting is to be changed does not exceed the number applicable as at the Start Date; </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At Risk Amount</w:t>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Persistent</w:t>
      </w:r>
      <w:r w:rsidDel="00000000" w:rsidR="00000000" w:rsidRPr="00000000">
        <w:rPr>
          <w:rFonts w:ascii="Arial" w:cs="Arial" w:eastAsia="Arial" w:hAnsi="Arial"/>
          <w:b w:val="1"/>
          <w:color w:val="000000"/>
          <w:sz w:val="24"/>
          <w:szCs w:val="24"/>
          <w:rtl w:val="0"/>
        </w:rPr>
        <w:t xml:space="preserve"> KPI Failure</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w:t>
      </w:r>
      <w:r w:rsidDel="00000000" w:rsidR="00000000" w:rsidRPr="00000000">
        <w:rPr>
          <w:rFonts w:ascii="Arial" w:cs="Arial" w:eastAsia="Arial" w:hAnsi="Arial"/>
          <w:sz w:val="24"/>
          <w:szCs w:val="24"/>
          <w:rtl w:val="0"/>
        </w:rPr>
        <w:t xml:space="preserve">Persistent</w:t>
      </w:r>
      <w:r w:rsidDel="00000000" w:rsidR="00000000" w:rsidRPr="00000000">
        <w:rPr>
          <w:rFonts w:ascii="Arial" w:cs="Arial" w:eastAsia="Arial" w:hAnsi="Arial"/>
          <w:color w:val="000000"/>
          <w:sz w:val="24"/>
          <w:szCs w:val="24"/>
          <w:rtl w:val="0"/>
        </w:rPr>
        <w:t xml:space="preserve"> KPI Failure:</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KPI Credits that would otherwise have accrued during the relevant Service Period shall not accrue; and</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Persistent KPI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bookmarkStart w:colFirst="0" w:colLast="0" w:name="_heading=h.1fob9te" w:id="3"/>
      <w:bookmarkEnd w:id="3"/>
      <w:r w:rsidDel="00000000" w:rsidR="00000000" w:rsidRPr="00000000">
        <w:rPr>
          <w:rtl w:val="0"/>
        </w:rPr>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A: KPIs and KPI Credits </w:t>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KPIs</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KPI Performance Measure; or</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Persistent Service Failure to occur,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preventative and/or remedial action that is reasonable to mitigate the impact on the Buyer and to rectify or prevent a KPI Failure or Persistent KPI Failure from taking place or recurring; </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KPI Failure has occurred, deduct the applicable KPI Credits payable by the Supplier to the Buyer; and/or</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Persistent KPI Failure has occurred, exercise its right to Compensation for Persistent KPI Failure (including the right to terminate for material Default).</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KPI Credits</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KPI Credits, if any, applicable to each Service Period.</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KPI Credits are a reduction of the amounts payable in respect of the Deliverables and do not include VAT. The Supplier shall </w:t>
      </w:r>
      <w:r w:rsidDel="00000000" w:rsidR="00000000" w:rsidRPr="00000000">
        <w:rPr>
          <w:rFonts w:ascii="Arial" w:cs="Arial" w:eastAsia="Arial" w:hAnsi="Arial"/>
          <w:sz w:val="24"/>
          <w:szCs w:val="24"/>
          <w:rtl w:val="0"/>
        </w:rPr>
        <w:t xml:space="preserve">off set</w:t>
      </w:r>
      <w:r w:rsidDel="00000000" w:rsidR="00000000" w:rsidRPr="00000000">
        <w:rPr>
          <w:rFonts w:ascii="Arial" w:cs="Arial" w:eastAsia="Arial" w:hAnsi="Arial"/>
          <w:color w:val="000000"/>
          <w:sz w:val="24"/>
          <w:szCs w:val="24"/>
          <w:rtl w:val="0"/>
        </w:rPr>
        <w:t xml:space="preserve"> the value of any KPI Credits against the appropriate invoice in accordance with </w:t>
      </w:r>
      <w:r w:rsidDel="00000000" w:rsidR="00000000" w:rsidRPr="00000000">
        <w:rPr>
          <w:rFonts w:ascii="Arial" w:cs="Arial" w:eastAsia="Arial" w:hAnsi="Arial"/>
          <w:sz w:val="24"/>
          <w:szCs w:val="24"/>
          <w:rtl w:val="0"/>
        </w:rPr>
        <w:t xml:space="preserve">the relevant </w:t>
      </w:r>
      <w:r w:rsidDel="00000000" w:rsidR="00000000" w:rsidRPr="00000000">
        <w:rPr>
          <w:rFonts w:ascii="Arial" w:cs="Arial" w:eastAsia="Arial" w:hAnsi="Arial"/>
          <w:color w:val="000000"/>
          <w:sz w:val="24"/>
          <w:szCs w:val="24"/>
          <w:rtl w:val="0"/>
        </w:rPr>
        <w:t xml:space="preserve">calculation formula below</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rPr>
      </w:pPr>
      <w:bookmarkStart w:colFirst="0" w:colLast="0" w:name="_heading=h.17dp8vu" w:id="4"/>
      <w:bookmarkEnd w:id="4"/>
      <w:r w:rsidDel="00000000" w:rsidR="00000000" w:rsidRPr="00000000">
        <w:rPr>
          <w:rFonts w:ascii="Arial" w:cs="Arial" w:eastAsia="Arial" w:hAnsi="Arial"/>
          <w:b w:val="1"/>
          <w:color w:val="000000"/>
          <w:sz w:val="24"/>
          <w:szCs w:val="24"/>
          <w:rtl w:val="0"/>
        </w:rPr>
        <w:t xml:space="preserve">KPI</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Credit Calculation</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bookmarkStart w:colFirst="0" w:colLast="0" w:name="_heading=h.3rdcrjn" w:id="5"/>
      <w:bookmarkEnd w:id="5"/>
      <w:r w:rsidDel="00000000" w:rsidR="00000000" w:rsidRPr="00000000">
        <w:rPr>
          <w:rFonts w:ascii="Arial" w:cs="Arial" w:eastAsia="Arial" w:hAnsi="Arial"/>
          <w:color w:val="000000"/>
          <w:sz w:val="24"/>
          <w:szCs w:val="24"/>
          <w:rtl w:val="0"/>
        </w:rPr>
        <w:t xml:space="preserve">At Risk Amount</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bookmarkStart w:colFirst="0" w:colLast="0" w:name="_heading=h.26in1rg" w:id="6"/>
      <w:bookmarkEnd w:id="6"/>
      <w:r w:rsidDel="00000000" w:rsidR="00000000" w:rsidRPr="00000000">
        <w:rPr>
          <w:rFonts w:ascii="Arial" w:cs="Arial" w:eastAsia="Arial" w:hAnsi="Arial"/>
          <w:color w:val="000000"/>
          <w:sz w:val="24"/>
          <w:szCs w:val="24"/>
          <w:rtl w:val="0"/>
        </w:rPr>
        <w:t xml:space="preserve">For a Service Period, the At Risk Amount shall be calculated in accordance with Section 2 - Calculation of Monthly Value at Risk, of the Paymech Calc Overview tab of the </w:t>
      </w:r>
      <w:r w:rsidDel="00000000" w:rsidR="00000000" w:rsidRPr="00000000">
        <w:rPr>
          <w:rFonts w:ascii="Arial" w:cs="Arial" w:eastAsia="Arial" w:hAnsi="Arial"/>
          <w:color w:val="222222"/>
          <w:sz w:val="24"/>
          <w:szCs w:val="24"/>
          <w:highlight w:val="white"/>
          <w:rtl w:val="0"/>
        </w:rPr>
        <w:t xml:space="preserve">KPI Paymech Model</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bookmarkStart w:colFirst="0" w:colLast="0" w:name="_heading=h.lnxbz9" w:id="7"/>
      <w:bookmarkEnd w:id="7"/>
      <w:r w:rsidDel="00000000" w:rsidR="00000000" w:rsidRPr="00000000">
        <w:rPr>
          <w:rFonts w:ascii="Arial" w:cs="Arial" w:eastAsia="Arial" w:hAnsi="Arial"/>
          <w:color w:val="000000"/>
          <w:sz w:val="24"/>
          <w:szCs w:val="24"/>
          <w:rtl w:val="0"/>
        </w:rPr>
        <w:t xml:space="preserve">KPI Category At Risk Amount </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Category At Risk Amount shall be calculated as follows: for each KPI Category, the At Risk Amount shall be apportioned to it in accordance with the KPI Category Weightings in the column headed KPI Weighting in the KPI Table 2 of the KPI Measures tab of the KPI Paymech Model.</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bookmarkStart w:colFirst="0" w:colLast="0" w:name="_heading=h.35nkun2" w:id="8"/>
      <w:bookmarkEnd w:id="8"/>
      <w:r w:rsidDel="00000000" w:rsidR="00000000" w:rsidRPr="00000000">
        <w:rPr>
          <w:rFonts w:ascii="Arial" w:cs="Arial" w:eastAsia="Arial" w:hAnsi="Arial"/>
          <w:color w:val="000000"/>
          <w:sz w:val="24"/>
          <w:szCs w:val="24"/>
          <w:rtl w:val="0"/>
        </w:rPr>
        <w:t xml:space="preserve">KPI At Risk Amount </w:t>
      </w:r>
    </w:p>
    <w:p w:rsidR="00000000" w:rsidDel="00000000" w:rsidP="00000000" w:rsidRDefault="00000000" w:rsidRPr="00000000" w14:paraId="0000004C">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At Risk Amount shall be calculated as follows: the KPI Category At Risk Amount that applies to the KPI Category in which the relevant KPI resides, shall be further apportioned in accordance with the KPI Measure Weightings in the column headed </w:t>
      </w:r>
      <w:r w:rsidDel="00000000" w:rsidR="00000000" w:rsidRPr="00000000">
        <w:rPr>
          <w:rFonts w:ascii="Arial" w:cs="Arial" w:eastAsia="Arial" w:hAnsi="Arial"/>
          <w:color w:val="222222"/>
          <w:sz w:val="24"/>
          <w:szCs w:val="24"/>
          <w:highlight w:val="white"/>
          <w:rtl w:val="0"/>
        </w:rPr>
        <w:t xml:space="preserve">Measure Weighting in Table 3. Measures of the KPI Measures tab of the KPI Paymech Model.</w:t>
      </w:r>
      <w:r w:rsidDel="00000000" w:rsidR="00000000" w:rsidRPr="00000000">
        <w:rPr>
          <w:rtl w:val="0"/>
        </w:rPr>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Credit </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to be applied to a KPI in a Service Period for a KPI Failure shall be calculated in accordance with the KPI Measures tab of the KPI Paymech Model by:</w:t>
      </w:r>
    </w:p>
    <w:p w:rsidR="00000000" w:rsidDel="00000000" w:rsidP="00000000" w:rsidRDefault="00000000" w:rsidRPr="00000000" w14:paraId="0000004F">
      <w:pPr>
        <w:numPr>
          <w:ilvl w:val="3"/>
          <w:numId w:val="4"/>
        </w:numPr>
        <w:pBdr>
          <w:top w:space="0" w:sz="0" w:val="nil"/>
          <w:left w:space="0" w:sz="0" w:val="nil"/>
          <w:bottom w:space="0" w:sz="0" w:val="nil"/>
          <w:right w:space="0" w:sz="0" w:val="nil"/>
          <w:between w:space="0" w:sz="0" w:val="nil"/>
        </w:pBdr>
        <w:tabs>
          <w:tab w:val="left" w:pos="144"/>
        </w:tabs>
        <w:spacing w:after="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deducting from 100% the actual standard of performance (as a percentage, calculated using the Scoring Scales tab of the KPI Paymech Model) achieved by the Supplier against the KPI Performance Measure in that Service Period; and </w:t>
      </w:r>
    </w:p>
    <w:p w:rsidR="00000000" w:rsidDel="00000000" w:rsidP="00000000" w:rsidRDefault="00000000" w:rsidRPr="00000000" w14:paraId="00000050">
      <w:pPr>
        <w:numPr>
          <w:ilvl w:val="3"/>
          <w:numId w:val="4"/>
        </w:numPr>
        <w:pBdr>
          <w:top w:space="0" w:sz="0" w:val="nil"/>
          <w:left w:space="0" w:sz="0" w:val="nil"/>
          <w:bottom w:space="0" w:sz="0" w:val="nil"/>
          <w:right w:space="0" w:sz="0" w:val="nil"/>
          <w:between w:space="0" w:sz="0" w:val="nil"/>
        </w:pBdr>
        <w:tabs>
          <w:tab w:val="left" w:pos="144"/>
        </w:tabs>
        <w:spacing w:after="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multiplying the resultant percentage by the KPI At Risk Amount.</w:t>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rPr>
      </w:pPr>
      <w:bookmarkStart w:colFirst="0" w:colLast="0" w:name="_heading=h.1ksv4uv" w:id="9"/>
      <w:bookmarkEnd w:id="9"/>
      <w:r w:rsidDel="00000000" w:rsidR="00000000" w:rsidRPr="00000000">
        <w:rPr>
          <w:rFonts w:ascii="Arial" w:cs="Arial" w:eastAsia="Arial" w:hAnsi="Arial"/>
          <w:b w:val="1"/>
          <w:color w:val="000000"/>
          <w:rtl w:val="0"/>
        </w:rPr>
        <w:t xml:space="preserve">KPI Credit Ratchet</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bookmarkStart w:colFirst="0" w:colLast="0" w:name="_heading=h.44sinio" w:id="10"/>
      <w:bookmarkEnd w:id="10"/>
      <w:r w:rsidDel="00000000" w:rsidR="00000000" w:rsidRPr="00000000">
        <w:rPr>
          <w:rFonts w:ascii="Arial" w:cs="Arial" w:eastAsia="Arial" w:hAnsi="Arial"/>
          <w:color w:val="000000"/>
          <w:sz w:val="24"/>
          <w:szCs w:val="24"/>
          <w:rtl w:val="0"/>
        </w:rPr>
        <w:t xml:space="preserve">A ratchet will apply to the calculation of KPI Credits for frequent and repeated KPI Failures (</w:t>
      </w:r>
      <w:r w:rsidDel="00000000" w:rsidR="00000000" w:rsidRPr="00000000">
        <w:rPr>
          <w:rFonts w:ascii="Arial" w:cs="Arial" w:eastAsia="Arial" w:hAnsi="Arial"/>
          <w:b w:val="1"/>
          <w:color w:val="000000"/>
          <w:sz w:val="24"/>
          <w:szCs w:val="24"/>
          <w:rtl w:val="0"/>
        </w:rPr>
        <w:t xml:space="preserve">"Ratchet"</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Ratchet will be applied to the calculation of KPI Credits if one or both of the following circumstances occur:</w:t>
      </w:r>
    </w:p>
    <w:p w:rsidR="00000000" w:rsidDel="00000000" w:rsidP="00000000" w:rsidRDefault="00000000" w:rsidRPr="00000000" w14:paraId="00000054">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55">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Failures occur in relation to any one or more of the KPIs comprised in the same KPI Category in any four (4) or more of the immediately preceding twelve (12) Service Periods.</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value of the Ratchet and when it is to be applied pursuant to Paragraph 4.2, </w:t>
      </w:r>
      <w:r w:rsidDel="00000000" w:rsidR="00000000" w:rsidRPr="00000000">
        <w:rPr>
          <w:rFonts w:ascii="Arial" w:cs="Arial" w:eastAsia="Arial" w:hAnsi="Arial"/>
          <w:color w:val="222222"/>
          <w:sz w:val="24"/>
          <w:szCs w:val="24"/>
          <w:highlight w:val="white"/>
          <w:rtl w:val="0"/>
        </w:rPr>
        <w:t xml:space="preserve">is set out in the Perf Ded_Adj and Earnback Calc tab of the KPI Paymech Model</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Ratchet is to be applied, the relevant KPI Credit shall be the number of KPI Credits that would normally accrue for an initial KPI Failure multiplied by the value of the Ratchet, for example:</w:t>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 (refer to table 1 in 4.4.3).</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Illustration of Ratchets to be applied in table form;</w:t>
      </w:r>
    </w:p>
    <w:tbl>
      <w:tblPr>
        <w:tblStyle w:val="Table2"/>
        <w:tblW w:w="7653.0" w:type="dxa"/>
        <w:jc w:val="left"/>
        <w:tblInd w:w="14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0"/>
        <w:gridCol w:w="1843"/>
        <w:gridCol w:w="1842"/>
        <w:gridCol w:w="2268"/>
        <w:tblGridChange w:id="0">
          <w:tblGrid>
            <w:gridCol w:w="1700"/>
            <w:gridCol w:w="1843"/>
            <w:gridCol w:w="1842"/>
            <w:gridCol w:w="2268"/>
          </w:tblGrid>
        </w:tblGridChange>
      </w:tblGrid>
      <w:tr>
        <w:trPr>
          <w:cantSplit w:val="0"/>
          <w:trHeight w:val="840" w:hRule="atLeast"/>
          <w:tblHeader w:val="0"/>
        </w:trPr>
        <w:tc>
          <w:tcPr>
            <w:tcBorders>
              <w:top w:color="000000" w:space="0" w:sz="8"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5B">
            <w:pPr>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1: RATCHET OPTIONS</w:t>
            </w:r>
          </w:p>
        </w:tc>
        <w:tc>
          <w:tcPr>
            <w:tcBorders>
              <w:top w:color="000000" w:space="0" w:sz="8"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C">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Ratchet Value</w:t>
            </w:r>
          </w:p>
        </w:tc>
        <w:tc>
          <w:tcPr>
            <w:tcBorders>
              <w:top w:color="000000" w:space="0" w:sz="8"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D">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Consecutive Failure</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5E">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Failure over a 12 Month Rolling Period</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5F">
            <w:pPr>
              <w:rPr>
                <w:rFonts w:ascii="Arial" w:cs="Arial" w:eastAsia="Arial" w:hAnsi="Arial"/>
                <w:color w:val="000000"/>
              </w:rPr>
            </w:pPr>
            <w:r w:rsidDel="00000000" w:rsidR="00000000" w:rsidRPr="00000000">
              <w:rPr>
                <w:rFonts w:ascii="Arial" w:cs="Arial" w:eastAsia="Arial" w:hAnsi="Arial"/>
                <w:color w:val="000000"/>
                <w:rtl w:val="0"/>
              </w:rPr>
              <w:t xml:space="preserve">Default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0">
            <w:pPr>
              <w:jc w:val="center"/>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62">
            <w:pPr>
              <w:jc w:val="center"/>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63">
            <w:pPr>
              <w:rPr>
                <w:rFonts w:ascii="Arial" w:cs="Arial" w:eastAsia="Arial" w:hAnsi="Arial"/>
                <w:color w:val="000000"/>
              </w:rPr>
            </w:pPr>
            <w:r w:rsidDel="00000000" w:rsidR="00000000" w:rsidRPr="00000000">
              <w:rPr>
                <w:rFonts w:ascii="Arial" w:cs="Arial" w:eastAsia="Arial" w:hAnsi="Arial"/>
                <w:color w:val="000000"/>
                <w:rtl w:val="0"/>
              </w:rPr>
              <w:t xml:space="preserve">Ratchet 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rFonts w:ascii="Arial" w:cs="Arial" w:eastAsia="Arial" w:hAnsi="Arial"/>
                <w:color w:val="000000"/>
              </w:rPr>
            </w:pPr>
            <w:r w:rsidDel="00000000" w:rsidR="00000000" w:rsidRPr="00000000">
              <w:rPr>
                <w:rFonts w:ascii="Arial" w:cs="Arial" w:eastAsia="Arial" w:hAnsi="Arial"/>
                <w:color w:val="000000"/>
                <w:rtl w:val="0"/>
              </w:rPr>
              <w:t xml:space="preserve">1.5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5">
            <w:pPr>
              <w:jc w:val="center"/>
              <w:rPr>
                <w:rFonts w:ascii="Arial" w:cs="Arial" w:eastAsia="Arial" w:hAnsi="Arial"/>
                <w:color w:val="000000"/>
              </w:rPr>
            </w:pPr>
            <w:r w:rsidDel="00000000" w:rsidR="00000000" w:rsidRPr="00000000">
              <w:rPr>
                <w:rFonts w:ascii="Arial" w:cs="Arial" w:eastAsia="Arial" w:hAnsi="Arial"/>
                <w:color w:val="000000"/>
                <w:rtl w:val="0"/>
              </w:rPr>
              <w:t xml:space="preserve">2</w:t>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66">
            <w:pPr>
              <w:jc w:val="center"/>
              <w:rPr>
                <w:rFonts w:ascii="Arial" w:cs="Arial" w:eastAsia="Arial" w:hAnsi="Arial"/>
                <w:color w:val="000000"/>
              </w:rPr>
            </w:pPr>
            <w:r w:rsidDel="00000000" w:rsidR="00000000" w:rsidRPr="00000000">
              <w:rPr>
                <w:rFonts w:ascii="Arial" w:cs="Arial" w:eastAsia="Arial" w:hAnsi="Arial"/>
                <w:color w:val="000000"/>
                <w:rtl w:val="0"/>
              </w:rPr>
              <w:t xml:space="preserve">3</w:t>
            </w:r>
          </w:p>
        </w:tc>
      </w:tr>
      <w:tr>
        <w:trPr>
          <w:cantSplit w:val="0"/>
          <w:trHeight w:val="255" w:hRule="atLeast"/>
          <w:tblHeader w:val="0"/>
        </w:trPr>
        <w:tc>
          <w:tcPr>
            <w:tcBorders>
              <w:top w:color="000000" w:space="0" w:sz="0" w:val="nil"/>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67">
            <w:pPr>
              <w:rPr>
                <w:rFonts w:ascii="Arial" w:cs="Arial" w:eastAsia="Arial" w:hAnsi="Arial"/>
                <w:color w:val="000000"/>
              </w:rPr>
            </w:pPr>
            <w:r w:rsidDel="00000000" w:rsidR="00000000" w:rsidRPr="00000000">
              <w:rPr>
                <w:rFonts w:ascii="Arial" w:cs="Arial" w:eastAsia="Arial" w:hAnsi="Arial"/>
                <w:color w:val="000000"/>
                <w:rtl w:val="0"/>
              </w:rPr>
              <w:t xml:space="preserve">Ratchet 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8">
            <w:pPr>
              <w:jc w:val="center"/>
              <w:rPr>
                <w:rFonts w:ascii="Arial" w:cs="Arial" w:eastAsia="Arial" w:hAnsi="Arial"/>
                <w:color w:val="000000"/>
              </w:rPr>
            </w:pPr>
            <w:r w:rsidDel="00000000" w:rsidR="00000000" w:rsidRPr="00000000">
              <w:rPr>
                <w:rFonts w:ascii="Arial" w:cs="Arial" w:eastAsia="Arial" w:hAnsi="Arial"/>
                <w:color w:val="000000"/>
                <w:rtl w:val="0"/>
              </w:rPr>
              <w:t xml:space="preserve">1.75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9">
            <w:pPr>
              <w:jc w:val="center"/>
              <w:rPr>
                <w:rFonts w:ascii="Arial" w:cs="Arial" w:eastAsia="Arial" w:hAnsi="Arial"/>
                <w:color w:val="000000"/>
              </w:rPr>
            </w:pPr>
            <w:r w:rsidDel="00000000" w:rsidR="00000000" w:rsidRPr="00000000">
              <w:rPr>
                <w:rFonts w:ascii="Arial" w:cs="Arial" w:eastAsia="Arial" w:hAnsi="Arial"/>
                <w:color w:val="000000"/>
                <w:rtl w:val="0"/>
              </w:rPr>
              <w:t xml:space="preserve">3</w:t>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6A">
            <w:pPr>
              <w:jc w:val="center"/>
              <w:rPr>
                <w:rFonts w:ascii="Arial" w:cs="Arial" w:eastAsia="Arial" w:hAnsi="Arial"/>
                <w:color w:val="000000"/>
              </w:rPr>
            </w:pPr>
            <w:r w:rsidDel="00000000" w:rsidR="00000000" w:rsidRPr="00000000">
              <w:rPr>
                <w:rFonts w:ascii="Arial" w:cs="Arial" w:eastAsia="Arial" w:hAnsi="Arial"/>
                <w:color w:val="000000"/>
                <w:rtl w:val="0"/>
              </w:rPr>
              <w:t xml:space="preserve">4,5</w:t>
            </w:r>
          </w:p>
        </w:tc>
      </w:tr>
      <w:tr>
        <w:trPr>
          <w:cantSplit w:val="0"/>
          <w:trHeight w:val="270" w:hRule="atLeast"/>
          <w:tblHeader w:val="0"/>
        </w:trPr>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06B">
            <w:pPr>
              <w:rPr>
                <w:rFonts w:ascii="Arial" w:cs="Arial" w:eastAsia="Arial" w:hAnsi="Arial"/>
                <w:color w:val="000000"/>
              </w:rPr>
            </w:pPr>
            <w:r w:rsidDel="00000000" w:rsidR="00000000" w:rsidRPr="00000000">
              <w:rPr>
                <w:rFonts w:ascii="Arial" w:cs="Arial" w:eastAsia="Arial" w:hAnsi="Arial"/>
                <w:color w:val="000000"/>
                <w:rtl w:val="0"/>
              </w:rPr>
              <w:t xml:space="preserve">Ratchet 3</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06C">
            <w:pPr>
              <w:jc w:val="center"/>
              <w:rPr>
                <w:rFonts w:ascii="Arial" w:cs="Arial" w:eastAsia="Arial" w:hAnsi="Arial"/>
                <w:color w:val="000000"/>
              </w:rPr>
            </w:pPr>
            <w:r w:rsidDel="00000000" w:rsidR="00000000" w:rsidRPr="00000000">
              <w:rPr>
                <w:rFonts w:ascii="Arial" w:cs="Arial" w:eastAsia="Arial" w:hAnsi="Arial"/>
                <w:color w:val="000000"/>
                <w:rtl w:val="0"/>
              </w:rPr>
              <w:t xml:space="preserve">2</w:t>
            </w:r>
          </w:p>
        </w:tc>
        <w:tc>
          <w:tcPr>
            <w:tcBorders>
              <w:top w:color="000000" w:space="0" w:sz="4"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06D">
            <w:pPr>
              <w:jc w:val="center"/>
              <w:rPr>
                <w:rFonts w:ascii="Arial" w:cs="Arial" w:eastAsia="Arial" w:hAnsi="Arial"/>
                <w:color w:val="000000"/>
              </w:rPr>
            </w:pPr>
            <w:r w:rsidDel="00000000" w:rsidR="00000000" w:rsidRPr="00000000">
              <w:rPr>
                <w:rFonts w:ascii="Arial" w:cs="Arial" w:eastAsia="Arial" w:hAnsi="Arial"/>
                <w:color w:val="000000"/>
                <w:rtl w:val="0"/>
              </w:rPr>
              <w:t xml:space="preserve">4</w:t>
            </w:r>
          </w:p>
        </w:tc>
        <w:tc>
          <w:tcPr>
            <w:tcBorders>
              <w:top w:color="000000" w:space="0" w:sz="4"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6E">
            <w:pPr>
              <w:jc w:val="center"/>
              <w:rPr>
                <w:rFonts w:ascii="Arial" w:cs="Arial" w:eastAsia="Arial" w:hAnsi="Arial"/>
                <w:color w:val="000000"/>
              </w:rPr>
            </w:pPr>
            <w:r w:rsidDel="00000000" w:rsidR="00000000" w:rsidRPr="00000000">
              <w:rPr>
                <w:rFonts w:ascii="Arial" w:cs="Arial" w:eastAsia="Arial" w:hAnsi="Arial"/>
                <w:color w:val="000000"/>
                <w:rtl w:val="0"/>
              </w:rPr>
              <w:t xml:space="preserve">6,7,8,9,10,11,12</w:t>
            </w:r>
          </w:p>
        </w:tc>
      </w:tr>
    </w:tbl>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0">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more than one Ratchet applies to a KPI Failure in the same Service Period, the Ratchet resulting in the higher KPI Credit will be used.</w:t>
      </w:r>
    </w:p>
    <w:p w:rsidR="00000000" w:rsidDel="00000000" w:rsidP="00000000" w:rsidRDefault="00000000" w:rsidRPr="00000000" w14:paraId="00000071">
      <w:pPr>
        <w:numPr>
          <w:ilvl w:val="0"/>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rPr>
      </w:pPr>
      <w:bookmarkStart w:colFirst="0" w:colLast="0" w:name="_heading=h.z337ya" w:id="11"/>
      <w:bookmarkEnd w:id="11"/>
      <w:r w:rsidDel="00000000" w:rsidR="00000000" w:rsidRPr="00000000">
        <w:rPr>
          <w:rFonts w:ascii="Arial" w:cs="Arial" w:eastAsia="Arial" w:hAnsi="Arial"/>
          <w:b w:val="1"/>
          <w:color w:val="000000"/>
          <w:sz w:val="24"/>
          <w:szCs w:val="24"/>
          <w:rtl w:val="0"/>
        </w:rPr>
        <w:t xml:space="preserve">KPI Credit Earn Back</w:t>
      </w:r>
      <w:r w:rsidDel="00000000" w:rsidR="00000000" w:rsidRPr="00000000">
        <w:rPr>
          <w:rtl w:val="0"/>
        </w:rPr>
      </w:r>
    </w:p>
    <w:p w:rsidR="00000000" w:rsidDel="00000000" w:rsidP="00000000" w:rsidRDefault="00000000" w:rsidRPr="00000000" w14:paraId="00000072">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bookmarkStart w:colFirst="0" w:colLast="0" w:name="_heading=h.3j2qqm3" w:id="12"/>
      <w:bookmarkEnd w:id="12"/>
      <w:r w:rsidDel="00000000" w:rsidR="00000000" w:rsidRPr="00000000">
        <w:rPr>
          <w:rFonts w:ascii="Arial" w:cs="Arial" w:eastAsia="Arial" w:hAnsi="Arial"/>
          <w:color w:val="000000"/>
          <w:sz w:val="24"/>
          <w:szCs w:val="24"/>
          <w:rtl w:val="0"/>
        </w:rPr>
        <w:t xml:space="preserve">If:</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bookmarkStart w:colFirst="0" w:colLast="0" w:name="_heading=h.1y810tw" w:id="13"/>
      <w:bookmarkEnd w:id="13"/>
      <w:r w:rsidDel="00000000" w:rsidR="00000000" w:rsidRPr="00000000">
        <w:rPr>
          <w:rFonts w:ascii="Arial" w:cs="Arial" w:eastAsia="Arial" w:hAnsi="Arial"/>
          <w:color w:val="000000"/>
          <w:sz w:val="24"/>
          <w:szCs w:val="24"/>
          <w:rtl w:val="0"/>
        </w:rPr>
        <w:t xml:space="preserve">in respect of a Service Period the Supplier has been liable to pay (and has paid) a KPI Credit in relation to a KPI Category; and</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pos="144"/>
          <w:tab w:val="left" w:pos="142"/>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next Service Period, the Supplier is not liable to pay a KPI Credit in relation to the same KPI Category that was the subject of such KPI Credits in the previous Service Period,</w:t>
      </w:r>
    </w:p>
    <w:p w:rsidR="00000000" w:rsidDel="00000000" w:rsidP="00000000" w:rsidRDefault="00000000" w:rsidRPr="00000000" w14:paraId="00000075">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entitled to recover a proportion of such KPI Credit (</w:t>
      </w:r>
      <w:r w:rsidDel="00000000" w:rsidR="00000000" w:rsidRPr="00000000">
        <w:rPr>
          <w:rFonts w:ascii="Arial" w:cs="Arial" w:eastAsia="Arial" w:hAnsi="Arial"/>
          <w:b w:val="1"/>
          <w:color w:val="000000"/>
          <w:sz w:val="24"/>
          <w:szCs w:val="24"/>
          <w:rtl w:val="0"/>
        </w:rPr>
        <w:t xml:space="preserve">"Earn </w:t>
      </w:r>
      <w:r w:rsidDel="00000000" w:rsidR="00000000" w:rsidRPr="00000000">
        <w:rPr>
          <w:rFonts w:ascii="Arial" w:cs="Arial" w:eastAsia="Arial" w:hAnsi="Arial"/>
          <w:b w:val="1"/>
          <w:sz w:val="24"/>
          <w:szCs w:val="24"/>
          <w:rtl w:val="0"/>
        </w:rPr>
        <w:t xml:space="preserve">B</w:t>
      </w:r>
      <w:r w:rsidDel="00000000" w:rsidR="00000000" w:rsidRPr="00000000">
        <w:rPr>
          <w:rFonts w:ascii="Arial" w:cs="Arial" w:eastAsia="Arial" w:hAnsi="Arial"/>
          <w:b w:val="1"/>
          <w:color w:val="000000"/>
          <w:sz w:val="24"/>
          <w:szCs w:val="24"/>
          <w:rtl w:val="0"/>
        </w:rPr>
        <w:t xml:space="preserve">ack"</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6">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of the Earn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ack shall be calculated as the product of the KPI Credit paid in the previous Service Period in relation to the relevant KPI Category and the Earn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ack %.</w:t>
      </w:r>
    </w:p>
    <w:p w:rsidR="00000000" w:rsidDel="00000000" w:rsidP="00000000" w:rsidRDefault="00000000" w:rsidRPr="00000000" w14:paraId="00000077">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recover any Earn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ack to which it is entitled under this Paragraph 5 in accordance with Call-Off Schedule 5 (Call-Off Pricing).</w:t>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Persistent KPI Failure</w:t>
      </w:r>
      <w:r w:rsidDel="00000000" w:rsidR="00000000" w:rsidRPr="00000000">
        <w:rPr>
          <w:rtl w:val="0"/>
        </w:rPr>
      </w:r>
    </w:p>
    <w:p w:rsidR="00000000" w:rsidDel="00000000" w:rsidP="00000000" w:rsidRDefault="00000000" w:rsidRPr="00000000" w14:paraId="00000079">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Persistent KPI Failure shall arise when one or both of the following takes place:</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bookmarkStart w:colFirst="0" w:colLast="0" w:name="_heading=h.3znysh7" w:id="14"/>
      <w:bookmarkEnd w:id="14"/>
      <w:r w:rsidDel="00000000" w:rsidR="00000000" w:rsidRPr="00000000">
        <w:rPr>
          <w:rFonts w:ascii="Arial" w:cs="Arial" w:eastAsia="Arial" w:hAnsi="Arial"/>
          <w:color w:val="000000"/>
          <w:sz w:val="24"/>
          <w:szCs w:val="24"/>
          <w:rtl w:val="0"/>
        </w:rPr>
        <w:t xml:space="preserve">a KPI Failure in respect of any one or more of the KPIs comprised in the same KPI Category occurs in five (5) consecutive Service Periods;</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tabs>
          <w:tab w:val="left" w:pos="144"/>
        </w:tabs>
        <w:spacing w:after="120" w:line="240" w:lineRule="auto"/>
        <w:ind w:left="216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KPI Failure in respect of any one or more of the KPIs comprised in the same KPI Category occurs in any seven (7) Service Periods in the immediately preceding twelve (12) Service Periods.</w:t>
      </w:r>
    </w:p>
    <w:p w:rsidR="00000000" w:rsidDel="00000000" w:rsidP="00000000" w:rsidRDefault="00000000" w:rsidRPr="00000000" w14:paraId="0000007C">
      <w:pPr>
        <w:numPr>
          <w:ilvl w:val="1"/>
          <w:numId w:val="4"/>
        </w:numPr>
        <w:pBdr>
          <w:top w:space="0" w:sz="0" w:val="nil"/>
          <w:left w:space="0" w:sz="0" w:val="nil"/>
          <w:bottom w:space="0" w:sz="0" w:val="nil"/>
          <w:right w:space="0" w:sz="0" w:val="nil"/>
          <w:between w:space="0" w:sz="0" w:val="nil"/>
        </w:pBdr>
        <w:tabs>
          <w:tab w:val="left" w:pos="144"/>
        </w:tabs>
        <w:spacing w:after="120" w:line="240" w:lineRule="auto"/>
        <w:ind w:left="144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Persistent KPI Failure shall constitute a material Default of this Contract by the Supplier.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36"/>
          <w:szCs w:val="36"/>
        </w:rPr>
      </w:pPr>
      <w:bookmarkStart w:colFirst="0" w:colLast="0" w:name="_heading=h.tyjcwt" w:id="15"/>
      <w:bookmarkEnd w:id="15"/>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Fonts w:ascii="Arial" w:cs="Arial" w:eastAsia="Arial" w:hAnsi="Arial"/>
          <w:b w:val="1"/>
          <w:color w:val="000000"/>
          <w:sz w:val="36"/>
          <w:szCs w:val="36"/>
          <w:rtl w:val="0"/>
        </w:rPr>
        <w:t xml:space="preserve">Annex A to Part A – KPI_Paymech Model</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bookmarkStart w:colFirst="0" w:colLast="0" w:name="_heading=h.3dy6vkm" w:id="16"/>
      <w:bookmarkEnd w:id="16"/>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bookmarkStart w:colFirst="0" w:colLast="0" w:name="_heading=h.4d34og8" w:id="17"/>
      <w:bookmarkEnd w:id="17"/>
      <w:r w:rsidDel="00000000" w:rsidR="00000000" w:rsidRPr="00000000">
        <w:rPr>
          <w:rFonts w:ascii="Arial" w:cs="Arial" w:eastAsia="Arial" w:hAnsi="Arial"/>
          <w:rtl w:val="0"/>
        </w:rPr>
        <w:t xml:space="preserve">     </w:t>
      </w:r>
      <w:r w:rsidDel="00000000" w:rsidR="00000000" w:rsidRPr="00000000">
        <w:rPr>
          <w:rFonts w:ascii="Arial" w:cs="Arial" w:eastAsia="Arial" w:hAnsi="Arial"/>
        </w:rPr>
        <w:pict>
          <v:shape id="_x0000_i1025" style="width:75.6pt;height:49.2pt" o:ole="" type="#_x0000_t75">
            <v:imagedata r:id="rId1" o:title=""/>
          </v:shape>
          <o:OLEObject DrawAspect="Icon" r:id="rId2" ObjectID="_1696755290" ProgID="Excel.Sheet.12" ShapeID="_x0000_i1025" Type="Embed"/>
        </w:pic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240" w:lineRule="auto"/>
        <w:rPr>
          <w:rFonts w:ascii="Arial" w:cs="Arial" w:eastAsia="Arial" w:hAnsi="Arial"/>
        </w:rPr>
      </w:pPr>
      <w:r w:rsidDel="00000000" w:rsidR="00000000" w:rsidRPr="00000000">
        <w:rPr>
          <w:rFonts w:ascii="Arial" w:cs="Arial" w:eastAsia="Arial" w:hAnsi="Arial"/>
          <w:b w:val="1"/>
          <w:color w:val="000000"/>
          <w:sz w:val="36"/>
          <w:szCs w:val="36"/>
          <w:rtl w:val="0"/>
        </w:rPr>
        <w:t xml:space="preserve">Part B: Performance Monitoring </w:t>
      </w:r>
      <w:r w:rsidDel="00000000" w:rsidR="00000000" w:rsidRPr="00000000">
        <w:rPr>
          <w:rtl w:val="0"/>
        </w:rPr>
      </w:r>
    </w:p>
    <w:p w:rsidR="00000000" w:rsidDel="00000000" w:rsidP="00000000" w:rsidRDefault="00000000" w:rsidRPr="00000000" w14:paraId="00000091">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93">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in the same format as that in the KPI Paymech Model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.1 of Part B of this Schedule which shall contain, as a minimum, the following information in respect of the relevant Service Period just ended:</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KPI, the actual performance achieved over the KPI for the relevant Service Period;</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KPIs that occurred during that Service Period;</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Persistent KPI Failures;</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Persistent failures, actions taken to resolve the underlying cause and prevent recurrence;</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Credits to be applied in respect of the relevant Service Period indicating the KPI Failures and KPIs to which the KPI Credits relate; and</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9A">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KPI Credits for any specified Service Period.</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1">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Surveys</w:t>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atisfaction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urveys reasonably suggest are not in accordance with this Contract.</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18"/>
      <w:bookmarkEnd w:id="18"/>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RM6232</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w:t>
    </w:r>
    <w:r w:rsidDel="00000000" w:rsidR="00000000" w:rsidRPr="00000000">
      <w:rPr>
        <w:rFonts w:ascii="Arial" w:cs="Arial" w:eastAsia="Arial" w:hAnsi="Arial"/>
        <w:b w:val="1"/>
        <w:sz w:val="20"/>
        <w:szCs w:val="20"/>
        <w:rtl w:val="0"/>
      </w:rPr>
      <w:t xml:space="preserve">Key Performance Indicators</w:t>
    </w:r>
    <w:r w:rsidDel="00000000" w:rsidR="00000000" w:rsidRPr="00000000">
      <w:rPr>
        <w:rFonts w:ascii="Arial" w:cs="Arial" w:eastAsia="Arial" w:hAnsi="Arial"/>
        <w:b w:val="1"/>
        <w:color w:val="000000"/>
        <w:sz w:val="20"/>
        <w:szCs w:val="20"/>
        <w:rtl w:val="0"/>
      </w:rPr>
      <w:t xml:space="preserve">)</w:t>
    </w: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7"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NormalWeb">
    <w:name w:val="Normal (Web)"/>
    <w:basedOn w:val="Normal"/>
    <w:uiPriority w:val="99"/>
    <w:semiHidden w:val="1"/>
    <w:unhideWhenUsed w:val="1"/>
    <w:rsid w:val="00993600"/>
    <w:pPr>
      <w:spacing w:after="100" w:afterAutospacing="1" w:before="100" w:beforeAutospacing="1" w:line="240" w:lineRule="auto"/>
    </w:pPr>
    <w:rPr>
      <w:rFonts w:ascii="Times New Roman" w:eastAsia="Times New Roman" w:hAnsi="Times New Roman"/>
      <w:sz w:val="24"/>
      <w:szCs w:val="24"/>
    </w:rPr>
  </w:style>
  <w:style w:type="table" w:styleId="afb"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1"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2"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3"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4"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5"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6"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7"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8"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ff9"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W7a1ioPHXbCCpGKm/l6+18AohQ==">AMUW2mU8gVWa2DT2KJymOkt8BBka7d5RBxzzEPmpM5+QoZN6T/Pqwfyl8F1lR6HerE+j8AQTs9wrl5TQaedjpsc5DZfGirN6cMRWDpPTrFpAViQcT3ZkCkWOLZ8ZGj0ooYimpM5JLmwjeFiJpIykufSIUiL2U6BTeMnGDy5bif29JeQI0UOx2S5VuBsPaZLeSECkIoMJb5IMO/dHT+SynoCzrwUhZ0Glmf4eY9hi8c4FSe2iPbQFP3IXQYvr9pCmq9ByL3XaUvTNOQBY4uTBhILD7J3Bjb1Wf4byTjLbx51g6DfMfVlhm+V2pdvZfOW/6CuifjgEn2nxW2J2x4nXA6vlyrS8RGfoBoOc35aCO7HG25u89pHujwI1neoayXX2uXS+sxpUou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2021-10-26T11:08:00Z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